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BD" w:rsidRPr="008B5D92" w:rsidRDefault="00777EBD" w:rsidP="0077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BD" w:rsidRPr="001C5E77" w:rsidRDefault="00F626E6" w:rsidP="00777EB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4" w:history="1">
        <w:r w:rsidR="00777EBD" w:rsidRPr="001C5E77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Холдинг «</w:t>
        </w:r>
        <w:proofErr w:type="spellStart"/>
        <w:r w:rsidR="00777EBD" w:rsidRPr="001C5E77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Купаловское</w:t>
        </w:r>
        <w:proofErr w:type="spellEnd"/>
        <w:r w:rsidR="00777EBD" w:rsidRPr="001C5E77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»</w:t>
        </w:r>
      </w:hyperlink>
    </w:p>
    <w:p w:rsidR="001C5E77" w:rsidRPr="001C5E77" w:rsidRDefault="001C5E77" w:rsidP="001C5E77">
      <w:pPr>
        <w:spacing w:after="0"/>
        <w:ind w:right="-5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Холдинг «</w:t>
      </w:r>
      <w:proofErr w:type="spellStart"/>
      <w:r w:rsidRPr="001C5E77">
        <w:rPr>
          <w:rFonts w:ascii="Times New Roman" w:hAnsi="Times New Roman" w:cs="Times New Roman"/>
          <w:sz w:val="30"/>
          <w:szCs w:val="30"/>
        </w:rPr>
        <w:t>Купаловское</w:t>
      </w:r>
      <w:proofErr w:type="spellEnd"/>
      <w:r w:rsidRPr="001C5E77">
        <w:rPr>
          <w:rFonts w:ascii="Times New Roman" w:hAnsi="Times New Roman" w:cs="Times New Roman"/>
          <w:sz w:val="30"/>
          <w:szCs w:val="30"/>
        </w:rPr>
        <w:t>» зарегистрирован Министерством экономики Республики Беларусь 4 июля 2017 г. В состав холдинга вошли: ООО «</w:t>
      </w:r>
      <w:proofErr w:type="spellStart"/>
      <w:r w:rsidRPr="001C5E77">
        <w:rPr>
          <w:rFonts w:ascii="Times New Roman" w:hAnsi="Times New Roman" w:cs="Times New Roman"/>
          <w:sz w:val="30"/>
          <w:szCs w:val="30"/>
        </w:rPr>
        <w:t>Купаловское</w:t>
      </w:r>
      <w:proofErr w:type="spellEnd"/>
      <w:r w:rsidRPr="001C5E77">
        <w:rPr>
          <w:rFonts w:ascii="Times New Roman" w:hAnsi="Times New Roman" w:cs="Times New Roman"/>
          <w:sz w:val="30"/>
          <w:szCs w:val="30"/>
        </w:rPr>
        <w:t xml:space="preserve">» - управляющая компания холдинга» и три дочерние сельскохозяйственные организации: ЗАО «Большие </w:t>
      </w:r>
      <w:proofErr w:type="spellStart"/>
      <w:r w:rsidRPr="001C5E77">
        <w:rPr>
          <w:rFonts w:ascii="Times New Roman" w:hAnsi="Times New Roman" w:cs="Times New Roman"/>
          <w:sz w:val="30"/>
          <w:szCs w:val="30"/>
        </w:rPr>
        <w:t>Славени</w:t>
      </w:r>
      <w:proofErr w:type="spellEnd"/>
      <w:r w:rsidRPr="001C5E77">
        <w:rPr>
          <w:rFonts w:ascii="Times New Roman" w:hAnsi="Times New Roman" w:cs="Times New Roman"/>
          <w:sz w:val="30"/>
          <w:szCs w:val="30"/>
        </w:rPr>
        <w:t>», ОАО «</w:t>
      </w:r>
      <w:proofErr w:type="spellStart"/>
      <w:r w:rsidRPr="001C5E77">
        <w:rPr>
          <w:rFonts w:ascii="Times New Roman" w:hAnsi="Times New Roman" w:cs="Times New Roman"/>
          <w:sz w:val="30"/>
          <w:szCs w:val="30"/>
        </w:rPr>
        <w:t>Любиничи</w:t>
      </w:r>
      <w:proofErr w:type="spellEnd"/>
      <w:r w:rsidRPr="001C5E77">
        <w:rPr>
          <w:rFonts w:ascii="Times New Roman" w:hAnsi="Times New Roman" w:cs="Times New Roman"/>
          <w:sz w:val="30"/>
          <w:szCs w:val="30"/>
        </w:rPr>
        <w:t>-Агро» и ОАО «Новогородищенское».</w:t>
      </w:r>
    </w:p>
    <w:p w:rsidR="001C5E77" w:rsidRPr="001C5E77" w:rsidRDefault="001C5E77" w:rsidP="001C5E7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Общая площадь сельскохозяйственных угодий на 01.01.2023г. составляет 22 219 га, площадь пашни – 17 643 га.</w:t>
      </w:r>
    </w:p>
    <w:p w:rsidR="001C5E77" w:rsidRPr="001C5E77" w:rsidRDefault="001C5E77" w:rsidP="001C5E7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За 2022 год индекс роста валовой продукции сельского хозяйства– 104,6%, («плюс» 10,9 п.п. к 2021 г.), в том числе растениеводство – 108,2 % , животноводство – 102,4 %.</w:t>
      </w:r>
    </w:p>
    <w:p w:rsidR="001C5E77" w:rsidRPr="001C5E77" w:rsidRDefault="001C5E77" w:rsidP="001C5E77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5E77">
        <w:rPr>
          <w:rFonts w:ascii="Times New Roman" w:hAnsi="Times New Roman" w:cs="Times New Roman"/>
          <w:b/>
          <w:sz w:val="30"/>
          <w:szCs w:val="30"/>
        </w:rPr>
        <w:t>Животноводство</w:t>
      </w:r>
    </w:p>
    <w:p w:rsidR="001C5E77" w:rsidRPr="001C5E77" w:rsidRDefault="001C5E77" w:rsidP="001C5E7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Выращивание скота в живом весе за январь-декабрь 2022 года составило 2293,5 тонны (100,6 % к 2021 году). За 2022 год реализовано КРС – 2450,1 тонны (112,9 % к 2021 году).</w:t>
      </w:r>
    </w:p>
    <w:p w:rsidR="001C5E77" w:rsidRPr="001C5E77" w:rsidRDefault="001C5E77" w:rsidP="001C5E7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Поголовье КРС на 01.01.2023 составило 19274 голов (102,6 % к 2021 году), в том числе коров молочного стада - 6822 голов (100,3 %).</w:t>
      </w:r>
    </w:p>
    <w:p w:rsidR="001C5E77" w:rsidRPr="001C5E77" w:rsidRDefault="001C5E77" w:rsidP="001C5E7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 xml:space="preserve">Производство молока 32374 тонн (102,9 %), реализовано - 29252 тонн (103,0 % к 2021 году), удой на корову - 4748 кг («плюс» 97 кг к 2021 году),  товарность молока 90,4 %  («плюс» 0,1 п.п.). </w:t>
      </w:r>
    </w:p>
    <w:p w:rsidR="001C5E77" w:rsidRPr="001C5E77" w:rsidRDefault="001C5E77" w:rsidP="001C5E77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Растениеводство</w:t>
      </w:r>
    </w:p>
    <w:p w:rsidR="001C5E77" w:rsidRPr="001C5E77" w:rsidRDefault="001C5E77" w:rsidP="001C5E7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Зерновые и зернобобовые (в весе после доработки) - 32168 тонн (131,5 % к 2021 году), урожайность – 40,0 ц/га («плюс» 9,2ц/га).</w:t>
      </w:r>
    </w:p>
    <w:p w:rsidR="001C5E77" w:rsidRPr="001C5E77" w:rsidRDefault="001C5E77" w:rsidP="001C5E7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 xml:space="preserve">Заготовлено кормов всего 58756 тонн к.ед. (112,6 %), 40,5 </w:t>
      </w:r>
      <w:proofErr w:type="spellStart"/>
      <w:r w:rsidRPr="001C5E77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1C5E77">
        <w:rPr>
          <w:rFonts w:ascii="Times New Roman" w:hAnsi="Times New Roman" w:cs="Times New Roman"/>
          <w:sz w:val="30"/>
          <w:szCs w:val="30"/>
        </w:rPr>
        <w:t xml:space="preserve">. на условную голову скота («плюс» 3,8 </w:t>
      </w:r>
      <w:proofErr w:type="spellStart"/>
      <w:r w:rsidRPr="001C5E77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1C5E77">
        <w:rPr>
          <w:rFonts w:ascii="Times New Roman" w:hAnsi="Times New Roman" w:cs="Times New Roman"/>
          <w:sz w:val="30"/>
          <w:szCs w:val="30"/>
        </w:rPr>
        <w:t xml:space="preserve">.), в том числе из трав 42367 тонн к.ед. (118,1 %), 29,2 </w:t>
      </w:r>
      <w:proofErr w:type="spellStart"/>
      <w:r w:rsidRPr="001C5E77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1C5E77">
        <w:rPr>
          <w:rFonts w:ascii="Times New Roman" w:hAnsi="Times New Roman" w:cs="Times New Roman"/>
          <w:sz w:val="30"/>
          <w:szCs w:val="30"/>
        </w:rPr>
        <w:t xml:space="preserve">. на условную голову скота («плюс» 4,0 </w:t>
      </w:r>
      <w:proofErr w:type="spellStart"/>
      <w:r w:rsidRPr="001C5E77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1C5E77">
        <w:rPr>
          <w:rFonts w:ascii="Times New Roman" w:hAnsi="Times New Roman" w:cs="Times New Roman"/>
          <w:sz w:val="30"/>
          <w:szCs w:val="30"/>
        </w:rPr>
        <w:t>.).</w:t>
      </w:r>
    </w:p>
    <w:p w:rsidR="001C5E77" w:rsidRPr="001C5E77" w:rsidRDefault="001C5E77" w:rsidP="001C5E77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5E77">
        <w:rPr>
          <w:rFonts w:ascii="Times New Roman" w:hAnsi="Times New Roman" w:cs="Times New Roman"/>
          <w:b/>
          <w:sz w:val="30"/>
          <w:szCs w:val="30"/>
        </w:rPr>
        <w:t>Финансовый результат за 2022 год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Выручка от реализации продукции - 54560 тыс. руб. (136,2 % к 2021 году).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Выручка на одного работающего – 86,9 тыс. руб. (131,2 % к 2021 году).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Прибыль от реализации продукции - 2266 тыс. руб.  (998 тыс. руб. в 2021 году).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Рентабельность продаж – 4,2 %  («плюс» 1,7 п.п. к 2021 году).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Чистая прибыль - 4061 тыс. руб.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Среднесписочная численность - 628 человек (103,8 %).</w:t>
      </w:r>
    </w:p>
    <w:p w:rsidR="001C5E77" w:rsidRPr="001C5E77" w:rsidRDefault="001C5E77" w:rsidP="00F6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Среднемесячная заработная плата – 1422,5 руб. (123,6 %).</w:t>
      </w:r>
      <w:bookmarkStart w:id="0" w:name="_GoBack"/>
      <w:bookmarkEnd w:id="0"/>
    </w:p>
    <w:p w:rsidR="00A37027" w:rsidRPr="001C5E77" w:rsidRDefault="00A37027" w:rsidP="001C5E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37027" w:rsidRPr="001C5E77" w:rsidSect="00AE38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D"/>
    <w:rsid w:val="000414BD"/>
    <w:rsid w:val="0004673D"/>
    <w:rsid w:val="000A47E6"/>
    <w:rsid w:val="000C59A7"/>
    <w:rsid w:val="00183E46"/>
    <w:rsid w:val="001C5E77"/>
    <w:rsid w:val="00223089"/>
    <w:rsid w:val="00260CE7"/>
    <w:rsid w:val="002A19AD"/>
    <w:rsid w:val="002E00DD"/>
    <w:rsid w:val="002F5B7A"/>
    <w:rsid w:val="00346896"/>
    <w:rsid w:val="00371EC0"/>
    <w:rsid w:val="003D0ADA"/>
    <w:rsid w:val="004815F7"/>
    <w:rsid w:val="004C068B"/>
    <w:rsid w:val="00510F30"/>
    <w:rsid w:val="00516054"/>
    <w:rsid w:val="00572735"/>
    <w:rsid w:val="005A7E95"/>
    <w:rsid w:val="005C599C"/>
    <w:rsid w:val="005D3522"/>
    <w:rsid w:val="00615763"/>
    <w:rsid w:val="00731330"/>
    <w:rsid w:val="00773972"/>
    <w:rsid w:val="00777EBD"/>
    <w:rsid w:val="007B1406"/>
    <w:rsid w:val="007E1839"/>
    <w:rsid w:val="008B5D92"/>
    <w:rsid w:val="00930D7A"/>
    <w:rsid w:val="009330D8"/>
    <w:rsid w:val="00963F28"/>
    <w:rsid w:val="00981E53"/>
    <w:rsid w:val="009A3912"/>
    <w:rsid w:val="009C3756"/>
    <w:rsid w:val="009F7D3F"/>
    <w:rsid w:val="00A37027"/>
    <w:rsid w:val="00AE3869"/>
    <w:rsid w:val="00B40DF6"/>
    <w:rsid w:val="00B865D8"/>
    <w:rsid w:val="00BF6584"/>
    <w:rsid w:val="00C20A7C"/>
    <w:rsid w:val="00CA1EFE"/>
    <w:rsid w:val="00D1655E"/>
    <w:rsid w:val="00D176A0"/>
    <w:rsid w:val="00D22D28"/>
    <w:rsid w:val="00D92B7E"/>
    <w:rsid w:val="00DC46C4"/>
    <w:rsid w:val="00EB5E6B"/>
    <w:rsid w:val="00F25DC0"/>
    <w:rsid w:val="00F500EC"/>
    <w:rsid w:val="00F626E6"/>
    <w:rsid w:val="00FB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E4470-A899-4F19-BCBD-9F391256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DA"/>
  </w:style>
  <w:style w:type="paragraph" w:styleId="1">
    <w:name w:val="heading 1"/>
    <w:basedOn w:val="a"/>
    <w:link w:val="10"/>
    <w:uiPriority w:val="9"/>
    <w:qFormat/>
    <w:rsid w:val="00777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7E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7EBD"/>
    <w:rPr>
      <w:b/>
      <w:bCs/>
    </w:rPr>
  </w:style>
  <w:style w:type="character" w:styleId="a6">
    <w:name w:val="Emphasis"/>
    <w:basedOn w:val="a0"/>
    <w:uiPriority w:val="20"/>
    <w:qFormat/>
    <w:rsid w:val="00777EBD"/>
    <w:rPr>
      <w:i/>
      <w:iCs/>
    </w:rPr>
  </w:style>
  <w:style w:type="paragraph" w:customStyle="1" w:styleId="point">
    <w:name w:val="point"/>
    <w:basedOn w:val="a"/>
    <w:rsid w:val="009C37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D1655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klov.mogilev-region.by/uploads/files/Kupalovskoe-20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Леонид Вячеславович</dc:creator>
  <cp:keywords/>
  <dc:description/>
  <cp:lastModifiedBy>Буевич Леонид Вячеславович</cp:lastModifiedBy>
  <cp:revision>2</cp:revision>
  <dcterms:created xsi:type="dcterms:W3CDTF">2023-06-23T14:22:00Z</dcterms:created>
  <dcterms:modified xsi:type="dcterms:W3CDTF">2023-06-23T14:22:00Z</dcterms:modified>
</cp:coreProperties>
</file>